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F545A" w:rsidRPr="00B074B8" w:rsidRDefault="009C7F65" w:rsidP="00AF545A">
      <w:pPr>
        <w:rPr>
          <w:rFonts w:ascii="Arial" w:hAnsi="Arial"/>
          <w:b/>
          <w:sz w:val="18"/>
        </w:rPr>
      </w:pPr>
      <w:r>
        <w:rPr>
          <w:rFonts w:ascii="Arial" w:hAnsi="Arial"/>
          <w:b/>
          <w:noProof/>
          <w:sz w:val="18"/>
        </w:rPr>
        <w:pict>
          <v:shapetype id="_x0000_t202" coordsize="21600,21600" o:spt="202" path="m0,0l0,21600,21600,21600,21600,0xe">
            <v:stroke joinstyle="miter"/>
            <v:path gradientshapeok="t" o:connecttype="rect"/>
          </v:shapetype>
          <v:shape id="_x0000_s1030" type="#_x0000_t202" style="position:absolute;margin-left:454.05pt;margin-top:45.2pt;width:54pt;height:27pt;z-index:251663360;mso-wrap-edited:f;mso-position-horizontal:absolute;mso-position-vertical:absolute" wrapcoords="0 0 21600 0 21600 21600 0 21600 0 0" filled="f" stroked="f">
            <v:fill o:detectmouseclick="t"/>
            <v:textbox inset=",7.2pt,,7.2pt">
              <w:txbxContent>
                <w:p w:rsidR="00157EDE" w:rsidRPr="000E78EE" w:rsidRDefault="00157EDE" w:rsidP="009C7F65">
                  <w:pPr>
                    <w:rPr>
                      <w:rFonts w:ascii="Arial" w:hAnsi="Arial"/>
                      <w:b/>
                      <w:sz w:val="18"/>
                      <w:u w:val="single"/>
                    </w:rPr>
                  </w:pPr>
                  <w:r>
                    <w:rPr>
                      <w:rFonts w:ascii="Arial" w:hAnsi="Arial"/>
                      <w:b/>
                      <w:sz w:val="18"/>
                      <w:u w:val="single"/>
                    </w:rPr>
                    <w:t>18</w:t>
                  </w:r>
                  <w:r w:rsidRPr="000E78EE">
                    <w:rPr>
                      <w:rFonts w:ascii="Arial" w:hAnsi="Arial"/>
                      <w:b/>
                      <w:sz w:val="18"/>
                      <w:u w:val="single"/>
                    </w:rPr>
                    <w:t>% Inc</w:t>
                  </w:r>
                </w:p>
              </w:txbxContent>
            </v:textbox>
            <w10:wrap type="tight"/>
          </v:shape>
        </w:pict>
      </w:r>
      <w:r>
        <w:rPr>
          <w:rFonts w:ascii="Arial" w:hAnsi="Arial"/>
          <w:b/>
          <w:noProof/>
          <w:sz w:val="18"/>
        </w:rPr>
        <w:pict>
          <v:shape id="_x0000_s1029" type="#_x0000_t202" style="position:absolute;margin-left:337.05pt;margin-top:45.2pt;width:45pt;height:27pt;z-index:251662336;mso-wrap-edited:f;mso-position-horizontal:absolute;mso-position-vertical:absolute" wrapcoords="0 0 21600 0 21600 21600 0 21600 0 0" filled="f" stroked="f">
            <v:fill o:detectmouseclick="t"/>
            <v:textbox inset=",7.2pt,,7.2pt">
              <w:txbxContent>
                <w:p w:rsidR="00157EDE" w:rsidRPr="000E78EE" w:rsidRDefault="00157EDE" w:rsidP="009C7F65">
                  <w:pPr>
                    <w:rPr>
                      <w:rFonts w:ascii="Arial" w:hAnsi="Arial"/>
                      <w:b/>
                      <w:sz w:val="18"/>
                      <w:u w:val="single"/>
                    </w:rPr>
                  </w:pPr>
                  <w:r>
                    <w:rPr>
                      <w:rFonts w:ascii="Arial" w:hAnsi="Arial"/>
                      <w:b/>
                      <w:sz w:val="18"/>
                      <w:u w:val="single"/>
                    </w:rPr>
                    <w:t>9</w:t>
                  </w:r>
                  <w:r w:rsidRPr="000E78EE">
                    <w:rPr>
                      <w:rFonts w:ascii="Arial" w:hAnsi="Arial"/>
                      <w:b/>
                      <w:sz w:val="18"/>
                      <w:u w:val="single"/>
                    </w:rPr>
                    <w:t>% Inc</w:t>
                  </w:r>
                </w:p>
              </w:txbxContent>
            </v:textbox>
            <w10:wrap type="tight"/>
          </v:shape>
        </w:pict>
      </w:r>
      <w:r>
        <w:rPr>
          <w:rFonts w:ascii="Arial" w:hAnsi="Arial"/>
          <w:b/>
          <w:noProof/>
          <w:sz w:val="18"/>
        </w:rPr>
        <w:pict>
          <v:shape id="_x0000_s1027" type="#_x0000_t202" style="position:absolute;margin-left:209pt;margin-top:159pt;width:45pt;height:27pt;z-index:251660288;mso-wrap-edited:f;mso-position-horizontal:absolute;mso-position-vertical:absolute" wrapcoords="0 0 21600 0 21600 21600 0 21600 0 0" filled="f" stroked="f">
            <v:fill o:detectmouseclick="t"/>
            <v:textbox inset=",7.2pt,,7.2pt">
              <w:txbxContent>
                <w:p w:rsidR="00157EDE" w:rsidRPr="000E78EE" w:rsidRDefault="00157EDE" w:rsidP="000E78EE">
                  <w:pPr>
                    <w:rPr>
                      <w:rFonts w:ascii="Arial" w:hAnsi="Arial"/>
                      <w:b/>
                      <w:sz w:val="18"/>
                      <w:u w:val="single"/>
                    </w:rPr>
                  </w:pPr>
                  <w:r>
                    <w:rPr>
                      <w:rFonts w:ascii="Arial" w:hAnsi="Arial"/>
                      <w:b/>
                      <w:sz w:val="18"/>
                      <w:u w:val="single"/>
                    </w:rPr>
                    <w:t>7</w:t>
                  </w:r>
                  <w:r w:rsidRPr="000E78EE">
                    <w:rPr>
                      <w:rFonts w:ascii="Arial" w:hAnsi="Arial"/>
                      <w:b/>
                      <w:sz w:val="18"/>
                      <w:u w:val="single"/>
                    </w:rPr>
                    <w:t>% Inc</w:t>
                  </w:r>
                </w:p>
              </w:txbxContent>
            </v:textbox>
            <w10:wrap type="tight"/>
          </v:shape>
        </w:pict>
      </w:r>
      <w:r w:rsidR="000E78EE">
        <w:rPr>
          <w:rFonts w:ascii="Arial" w:hAnsi="Arial"/>
          <w:b/>
          <w:noProof/>
          <w:sz w:val="18"/>
        </w:rPr>
        <w:pict>
          <v:shape id="_x0000_s1028" type="#_x0000_t202" style="position:absolute;margin-left:247.05pt;margin-top:135.2pt;width:54pt;height:27pt;z-index:251661312;mso-wrap-edited:f;mso-position-horizontal:absolute;mso-position-vertical:absolute" wrapcoords="0 0 21600 0 21600 21600 0 21600 0 0" filled="f" stroked="f">
            <v:fill o:detectmouseclick="t"/>
            <v:textbox inset=",7.2pt,,7.2pt">
              <w:txbxContent>
                <w:p w:rsidR="00157EDE" w:rsidRPr="000E78EE" w:rsidRDefault="00157EDE" w:rsidP="000E78EE">
                  <w:pPr>
                    <w:rPr>
                      <w:rFonts w:ascii="Arial" w:hAnsi="Arial"/>
                      <w:b/>
                      <w:sz w:val="18"/>
                      <w:u w:val="single"/>
                    </w:rPr>
                  </w:pPr>
                  <w:r w:rsidRPr="000E78EE">
                    <w:rPr>
                      <w:rFonts w:ascii="Arial" w:hAnsi="Arial"/>
                      <w:b/>
                      <w:sz w:val="18"/>
                      <w:u w:val="single"/>
                    </w:rPr>
                    <w:t>18% Inc</w:t>
                  </w:r>
                </w:p>
              </w:txbxContent>
            </v:textbox>
            <w10:wrap type="tight"/>
          </v:shape>
        </w:pict>
      </w:r>
      <w:r w:rsidR="000E78EE">
        <w:rPr>
          <w:rFonts w:ascii="Arial" w:hAnsi="Arial"/>
          <w:b/>
          <w:noProof/>
          <w:sz w:val="18"/>
        </w:rPr>
        <w:pict>
          <v:shape id="_x0000_s1026" type="#_x0000_t202" style="position:absolute;margin-left:139.05pt;margin-top:90.2pt;width:54pt;height:27pt;z-index:251659264;mso-wrap-edited:f;mso-position-horizontal:absolute;mso-position-vertical:absolute" wrapcoords="0 0 21600 0 21600 21600 0 21600 0 0" filled="f" stroked="f">
            <v:fill o:detectmouseclick="t"/>
            <v:textbox inset=",7.2pt,,7.2pt">
              <w:txbxContent>
                <w:p w:rsidR="00157EDE" w:rsidRPr="000E78EE" w:rsidRDefault="00157EDE">
                  <w:pPr>
                    <w:rPr>
                      <w:rFonts w:ascii="Arial" w:hAnsi="Arial"/>
                      <w:b/>
                      <w:sz w:val="18"/>
                      <w:u w:val="single"/>
                    </w:rPr>
                  </w:pPr>
                  <w:r w:rsidRPr="000E78EE">
                    <w:rPr>
                      <w:rFonts w:ascii="Arial" w:hAnsi="Arial"/>
                      <w:b/>
                      <w:sz w:val="18"/>
                      <w:u w:val="single"/>
                    </w:rPr>
                    <w:t>18% Inc</w:t>
                  </w:r>
                </w:p>
              </w:txbxContent>
            </v:textbox>
            <w10:wrap type="tight"/>
          </v:shape>
        </w:pict>
      </w:r>
      <w:r w:rsidR="005C2851" w:rsidRPr="005C2851">
        <w:rPr>
          <w:rFonts w:ascii="Arial" w:hAnsi="Arial"/>
          <w:b/>
          <w:sz w:val="18"/>
        </w:rPr>
        <w:drawing>
          <wp:anchor distT="0" distB="0" distL="114300" distR="114300" simplePos="0" relativeHeight="251658240" behindDoc="0" locked="0" layoutInCell="1" allowOverlap="1">
            <wp:simplePos x="0" y="0"/>
            <wp:positionH relativeFrom="column">
              <wp:posOffset>25400</wp:posOffset>
            </wp:positionH>
            <wp:positionV relativeFrom="paragraph">
              <wp:posOffset>0</wp:posOffset>
            </wp:positionV>
            <wp:extent cx="6400800" cy="4381500"/>
            <wp:effectExtent l="25400" t="0" r="0" b="0"/>
            <wp:wrapTopAndBottom/>
            <wp:docPr id="3"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5"/>
                    <a:stretch>
                      <a:fillRect/>
                    </a:stretch>
                  </pic:blipFill>
                  <pic:spPr>
                    <a:xfrm>
                      <a:off x="0" y="0"/>
                      <a:ext cx="6400800" cy="4381500"/>
                    </a:xfrm>
                    <a:prstGeom prst="rect">
                      <a:avLst/>
                    </a:prstGeom>
                  </pic:spPr>
                </pic:pic>
              </a:graphicData>
            </a:graphic>
          </wp:anchor>
        </w:drawing>
      </w:r>
      <w:r w:rsidR="00AF545A" w:rsidRPr="005C2851">
        <w:rPr>
          <w:rFonts w:ascii="Arial" w:hAnsi="Arial"/>
          <w:b/>
          <w:sz w:val="18"/>
        </w:rPr>
        <w:t>Walkthrough Notes:</w:t>
      </w:r>
    </w:p>
    <w:p w:rsidR="00AF545A" w:rsidRPr="005C2851" w:rsidRDefault="00AF545A" w:rsidP="00AF545A">
      <w:pPr>
        <w:tabs>
          <w:tab w:val="left" w:pos="3600"/>
        </w:tabs>
        <w:rPr>
          <w:rFonts w:ascii="Arial" w:hAnsi="Arial"/>
          <w:sz w:val="18"/>
        </w:rPr>
      </w:pPr>
      <w:r w:rsidRPr="005C2851">
        <w:rPr>
          <w:rFonts w:ascii="Arial" w:hAnsi="Arial"/>
          <w:sz w:val="18"/>
        </w:rPr>
        <w:t>November walkthrough</w:t>
      </w:r>
      <w:r w:rsidR="00C054C7" w:rsidRPr="005C2851">
        <w:rPr>
          <w:rFonts w:ascii="Arial" w:hAnsi="Arial"/>
          <w:sz w:val="18"/>
        </w:rPr>
        <w:t xml:space="preserve"> </w:t>
      </w:r>
      <w:r w:rsidR="00C054C7" w:rsidRPr="005C2851">
        <w:rPr>
          <w:rFonts w:ascii="Arial" w:hAnsi="Arial"/>
          <w:b/>
          <w:sz w:val="18"/>
        </w:rPr>
        <w:t>(blue column)</w:t>
      </w:r>
      <w:r w:rsidRPr="005C2851">
        <w:rPr>
          <w:rFonts w:ascii="Arial" w:hAnsi="Arial"/>
          <w:sz w:val="18"/>
        </w:rPr>
        <w:t xml:space="preserve"> was conducted over three days: November 28, 2008 through November 30, 2008. There were 58 classrooms visited. The second walkthrough</w:t>
      </w:r>
      <w:r w:rsidR="00C054C7" w:rsidRPr="005C2851">
        <w:rPr>
          <w:rFonts w:ascii="Arial" w:hAnsi="Arial"/>
          <w:sz w:val="18"/>
        </w:rPr>
        <w:t xml:space="preserve"> </w:t>
      </w:r>
      <w:r w:rsidR="00C054C7" w:rsidRPr="005C2851">
        <w:rPr>
          <w:rFonts w:ascii="Arial" w:hAnsi="Arial"/>
          <w:b/>
          <w:sz w:val="18"/>
        </w:rPr>
        <w:t>(red column)</w:t>
      </w:r>
      <w:r w:rsidRPr="005C2851">
        <w:rPr>
          <w:rFonts w:ascii="Arial" w:hAnsi="Arial"/>
          <w:sz w:val="18"/>
        </w:rPr>
        <w:t xml:space="preserve"> was conducted over two days: February 7, 2008 through February 8, 2008. The third walkthrough </w:t>
      </w:r>
      <w:r w:rsidR="00C054C7" w:rsidRPr="005C2851">
        <w:rPr>
          <w:rFonts w:ascii="Arial" w:hAnsi="Arial"/>
          <w:b/>
          <w:sz w:val="18"/>
        </w:rPr>
        <w:t>(green column)</w:t>
      </w:r>
      <w:r w:rsidR="00C054C7" w:rsidRPr="005C2851">
        <w:rPr>
          <w:rFonts w:ascii="Arial" w:hAnsi="Arial"/>
          <w:sz w:val="18"/>
        </w:rPr>
        <w:t xml:space="preserve"> </w:t>
      </w:r>
      <w:r w:rsidRPr="005C2851">
        <w:rPr>
          <w:rFonts w:ascii="Arial" w:hAnsi="Arial"/>
          <w:sz w:val="18"/>
        </w:rPr>
        <w:t xml:space="preserve">was conducted on April 16, 2008 through April 17, 2008. </w:t>
      </w:r>
      <w:r w:rsidR="00C054C7" w:rsidRPr="005C2851">
        <w:rPr>
          <w:rFonts w:ascii="Arial" w:hAnsi="Arial"/>
          <w:sz w:val="18"/>
        </w:rPr>
        <w:t>There were 54 classrooms visited</w:t>
      </w:r>
      <w:r w:rsidRPr="005C2851">
        <w:rPr>
          <w:rFonts w:ascii="Arial" w:hAnsi="Arial"/>
          <w:sz w:val="18"/>
        </w:rPr>
        <w:t xml:space="preserve">. </w:t>
      </w:r>
      <w:r w:rsidR="00907E9D" w:rsidRPr="005C2851">
        <w:rPr>
          <w:rFonts w:ascii="Arial" w:hAnsi="Arial"/>
          <w:sz w:val="18"/>
        </w:rPr>
        <w:t>The fourth walkthrough</w:t>
      </w:r>
      <w:r w:rsidR="00C054C7" w:rsidRPr="005C2851">
        <w:rPr>
          <w:rFonts w:ascii="Arial" w:hAnsi="Arial"/>
          <w:sz w:val="18"/>
        </w:rPr>
        <w:t xml:space="preserve"> </w:t>
      </w:r>
      <w:r w:rsidR="00C054C7" w:rsidRPr="005C2851">
        <w:rPr>
          <w:rFonts w:ascii="Arial" w:hAnsi="Arial"/>
          <w:b/>
          <w:sz w:val="18"/>
        </w:rPr>
        <w:t xml:space="preserve">(purple column) </w:t>
      </w:r>
      <w:r w:rsidR="00C054C7" w:rsidRPr="005C2851">
        <w:rPr>
          <w:rFonts w:ascii="Arial" w:hAnsi="Arial"/>
          <w:sz w:val="18"/>
        </w:rPr>
        <w:t>was conducted on January 14, 2009 and January 15, 2009. There were 52 classrooms observed.</w:t>
      </w:r>
      <w:r w:rsidR="005C2851" w:rsidRPr="005C2851">
        <w:rPr>
          <w:rFonts w:ascii="Arial" w:hAnsi="Arial"/>
          <w:sz w:val="18"/>
        </w:rPr>
        <w:t xml:space="preserve"> The fifth walkthrough (</w:t>
      </w:r>
      <w:r w:rsidR="005C2851" w:rsidRPr="005C2851">
        <w:rPr>
          <w:rFonts w:ascii="Arial" w:hAnsi="Arial"/>
          <w:b/>
          <w:sz w:val="18"/>
        </w:rPr>
        <w:t>turquoise)</w:t>
      </w:r>
      <w:r w:rsidR="005C2851" w:rsidRPr="005C2851">
        <w:rPr>
          <w:rFonts w:ascii="Arial" w:hAnsi="Arial"/>
          <w:sz w:val="18"/>
        </w:rPr>
        <w:t xml:space="preserve"> was </w:t>
      </w:r>
      <w:r w:rsidR="00157EDE">
        <w:rPr>
          <w:rFonts w:ascii="Arial" w:hAnsi="Arial"/>
          <w:sz w:val="18"/>
        </w:rPr>
        <w:t>conducted on Friday, February 13,2009</w:t>
      </w:r>
      <w:r w:rsidR="005C2851" w:rsidRPr="005C2851">
        <w:rPr>
          <w:rFonts w:ascii="Arial" w:hAnsi="Arial"/>
          <w:sz w:val="18"/>
        </w:rPr>
        <w:t xml:space="preserve"> and Tuesday, February </w:t>
      </w:r>
      <w:r w:rsidR="00157EDE">
        <w:rPr>
          <w:rFonts w:ascii="Arial" w:hAnsi="Arial"/>
          <w:sz w:val="18"/>
        </w:rPr>
        <w:t>17, 2009</w:t>
      </w:r>
      <w:r w:rsidR="005C2851" w:rsidRPr="005C2851">
        <w:rPr>
          <w:rFonts w:ascii="Arial" w:hAnsi="Arial"/>
          <w:sz w:val="18"/>
        </w:rPr>
        <w:t xml:space="preserve">. This was the first Friday Walkthrough conducted. 53 Classrooms were visited. </w:t>
      </w:r>
    </w:p>
    <w:p w:rsidR="00AF545A" w:rsidRPr="005C2851" w:rsidRDefault="00AF545A" w:rsidP="00AF545A">
      <w:pPr>
        <w:rPr>
          <w:rFonts w:ascii="Arial" w:hAnsi="Arial"/>
          <w:sz w:val="18"/>
        </w:rPr>
      </w:pPr>
    </w:p>
    <w:p w:rsidR="00AF545A" w:rsidRPr="005C2851" w:rsidRDefault="00AF545A" w:rsidP="00AF545A">
      <w:pPr>
        <w:tabs>
          <w:tab w:val="left" w:pos="3600"/>
        </w:tabs>
        <w:rPr>
          <w:rFonts w:ascii="Arial" w:hAnsi="Arial"/>
          <w:sz w:val="18"/>
        </w:rPr>
      </w:pPr>
      <w:r w:rsidRPr="005C2851">
        <w:rPr>
          <w:rFonts w:ascii="Arial" w:hAnsi="Arial"/>
          <w:b/>
          <w:sz w:val="18"/>
        </w:rPr>
        <w:t>Overview of the Data:</w:t>
      </w:r>
    </w:p>
    <w:p w:rsidR="00AF545A" w:rsidRPr="005C2851" w:rsidRDefault="000E78EE" w:rsidP="00AF545A">
      <w:pPr>
        <w:tabs>
          <w:tab w:val="left" w:pos="3600"/>
        </w:tabs>
        <w:rPr>
          <w:rFonts w:ascii="Arial" w:hAnsi="Arial"/>
          <w:sz w:val="18"/>
        </w:rPr>
      </w:pPr>
      <w:r>
        <w:rPr>
          <w:rFonts w:ascii="Arial" w:hAnsi="Arial"/>
          <w:sz w:val="18"/>
        </w:rPr>
        <w:t>Throughout all</w:t>
      </w:r>
      <w:r w:rsidR="00AF545A" w:rsidRPr="005C2851">
        <w:rPr>
          <w:rFonts w:ascii="Arial" w:hAnsi="Arial"/>
          <w:sz w:val="18"/>
        </w:rPr>
        <w:t xml:space="preserve"> categori</w:t>
      </w:r>
      <w:r w:rsidR="008B2646">
        <w:rPr>
          <w:rFonts w:ascii="Arial" w:hAnsi="Arial"/>
          <w:sz w:val="18"/>
        </w:rPr>
        <w:t xml:space="preserve">es, there were five </w:t>
      </w:r>
      <w:r>
        <w:rPr>
          <w:rFonts w:ascii="Arial" w:hAnsi="Arial"/>
          <w:sz w:val="18"/>
        </w:rPr>
        <w:t>that showed a significant</w:t>
      </w:r>
      <w:r w:rsidR="00AF545A" w:rsidRPr="005C2851">
        <w:rPr>
          <w:rFonts w:ascii="Arial" w:hAnsi="Arial"/>
          <w:sz w:val="18"/>
        </w:rPr>
        <w:t xml:space="preserve"> </w:t>
      </w:r>
      <w:r w:rsidR="00AF545A" w:rsidRPr="005C2851">
        <w:rPr>
          <w:rFonts w:ascii="Arial" w:hAnsi="Arial"/>
          <w:b/>
          <w:sz w:val="18"/>
        </w:rPr>
        <w:t>increase</w:t>
      </w:r>
      <w:r w:rsidR="00AF545A" w:rsidRPr="005C2851">
        <w:rPr>
          <w:rFonts w:ascii="Arial" w:hAnsi="Arial"/>
          <w:sz w:val="18"/>
        </w:rPr>
        <w:t xml:space="preserve"> from the </w:t>
      </w:r>
      <w:r w:rsidR="006344EF" w:rsidRPr="005C2851">
        <w:rPr>
          <w:rFonts w:ascii="Arial" w:hAnsi="Arial"/>
          <w:sz w:val="18"/>
        </w:rPr>
        <w:t xml:space="preserve">earlier </w:t>
      </w:r>
      <w:r w:rsidR="00AF545A" w:rsidRPr="005C2851">
        <w:rPr>
          <w:rFonts w:ascii="Arial" w:hAnsi="Arial"/>
          <w:sz w:val="18"/>
        </w:rPr>
        <w:t>walkthroughs:</w:t>
      </w:r>
    </w:p>
    <w:p w:rsidR="00AF545A" w:rsidRPr="005C2851" w:rsidRDefault="005C2851" w:rsidP="003A0B4D">
      <w:pPr>
        <w:numPr>
          <w:ilvl w:val="0"/>
          <w:numId w:val="1"/>
        </w:numPr>
        <w:tabs>
          <w:tab w:val="clear" w:pos="720"/>
          <w:tab w:val="num" w:pos="630"/>
          <w:tab w:val="left" w:pos="3600"/>
        </w:tabs>
        <w:ind w:left="630" w:hanging="270"/>
        <w:rPr>
          <w:rFonts w:ascii="Arial" w:hAnsi="Arial"/>
          <w:sz w:val="18"/>
        </w:rPr>
      </w:pPr>
      <w:r>
        <w:rPr>
          <w:rFonts w:ascii="Arial" w:hAnsi="Arial"/>
          <w:i/>
          <w:sz w:val="18"/>
        </w:rPr>
        <w:t>Assessment of learning both formal and informal</w:t>
      </w:r>
      <w:r w:rsidR="006344EF" w:rsidRPr="005C2851">
        <w:rPr>
          <w:rFonts w:ascii="Arial" w:hAnsi="Arial"/>
          <w:i/>
          <w:sz w:val="18"/>
        </w:rPr>
        <w:t>:</w:t>
      </w:r>
      <w:r w:rsidR="00AF545A" w:rsidRPr="005C2851">
        <w:rPr>
          <w:rFonts w:ascii="Arial" w:hAnsi="Arial"/>
          <w:sz w:val="18"/>
        </w:rPr>
        <w:t xml:space="preserve"> </w:t>
      </w:r>
      <w:r>
        <w:rPr>
          <w:rFonts w:ascii="Arial" w:hAnsi="Arial"/>
          <w:sz w:val="18"/>
        </w:rPr>
        <w:t>18</w:t>
      </w:r>
      <w:r w:rsidR="00AF545A" w:rsidRPr="005C2851">
        <w:rPr>
          <w:rFonts w:ascii="Arial" w:hAnsi="Arial"/>
          <w:sz w:val="18"/>
        </w:rPr>
        <w:t>% increase</w:t>
      </w:r>
    </w:p>
    <w:p w:rsidR="006344EF" w:rsidRPr="005C2851" w:rsidRDefault="005C2851" w:rsidP="003A0B4D">
      <w:pPr>
        <w:numPr>
          <w:ilvl w:val="0"/>
          <w:numId w:val="1"/>
        </w:numPr>
        <w:tabs>
          <w:tab w:val="clear" w:pos="720"/>
          <w:tab w:val="num" w:pos="630"/>
          <w:tab w:val="left" w:pos="3600"/>
        </w:tabs>
        <w:ind w:left="630" w:hanging="270"/>
        <w:rPr>
          <w:rFonts w:ascii="Arial" w:hAnsi="Arial"/>
          <w:sz w:val="18"/>
        </w:rPr>
      </w:pPr>
      <w:r>
        <w:rPr>
          <w:rFonts w:ascii="Arial" w:hAnsi="Arial"/>
          <w:i/>
          <w:sz w:val="18"/>
        </w:rPr>
        <w:t>Varied Instructional Strategies</w:t>
      </w:r>
      <w:r>
        <w:rPr>
          <w:rFonts w:ascii="Arial" w:hAnsi="Arial"/>
          <w:sz w:val="18"/>
        </w:rPr>
        <w:t>: 7</w:t>
      </w:r>
      <w:r w:rsidR="00AF545A" w:rsidRPr="005C2851">
        <w:rPr>
          <w:rFonts w:ascii="Arial" w:hAnsi="Arial"/>
          <w:sz w:val="18"/>
        </w:rPr>
        <w:t>% increase</w:t>
      </w:r>
    </w:p>
    <w:p w:rsidR="005C2851" w:rsidRDefault="005C2851" w:rsidP="003A0B4D">
      <w:pPr>
        <w:numPr>
          <w:ilvl w:val="0"/>
          <w:numId w:val="1"/>
        </w:numPr>
        <w:tabs>
          <w:tab w:val="clear" w:pos="720"/>
          <w:tab w:val="num" w:pos="630"/>
          <w:tab w:val="left" w:pos="3600"/>
        </w:tabs>
        <w:ind w:left="630" w:hanging="270"/>
        <w:rPr>
          <w:rFonts w:ascii="Arial" w:hAnsi="Arial"/>
          <w:sz w:val="18"/>
        </w:rPr>
      </w:pPr>
      <w:r>
        <w:rPr>
          <w:rFonts w:ascii="Arial" w:hAnsi="Arial"/>
          <w:i/>
          <w:sz w:val="18"/>
        </w:rPr>
        <w:t>Higher Order Thinking</w:t>
      </w:r>
      <w:r>
        <w:rPr>
          <w:rFonts w:ascii="Arial" w:hAnsi="Arial"/>
          <w:sz w:val="18"/>
        </w:rPr>
        <w:t xml:space="preserve"> 18% increase, and a 24</w:t>
      </w:r>
      <w:r w:rsidR="006344EF" w:rsidRPr="005C2851">
        <w:rPr>
          <w:rFonts w:ascii="Arial" w:hAnsi="Arial"/>
          <w:sz w:val="18"/>
        </w:rPr>
        <w:t>% increase from last year in November 2008</w:t>
      </w:r>
    </w:p>
    <w:p w:rsidR="005C2851" w:rsidRDefault="005C2851" w:rsidP="003A0B4D">
      <w:pPr>
        <w:numPr>
          <w:ilvl w:val="0"/>
          <w:numId w:val="1"/>
        </w:numPr>
        <w:tabs>
          <w:tab w:val="clear" w:pos="720"/>
          <w:tab w:val="num" w:pos="630"/>
          <w:tab w:val="left" w:pos="3600"/>
        </w:tabs>
        <w:ind w:left="630" w:hanging="270"/>
        <w:rPr>
          <w:rFonts w:ascii="Arial" w:hAnsi="Arial"/>
          <w:sz w:val="18"/>
        </w:rPr>
      </w:pPr>
      <w:r>
        <w:rPr>
          <w:rFonts w:ascii="Arial" w:hAnsi="Arial"/>
          <w:i/>
          <w:sz w:val="18"/>
        </w:rPr>
        <w:t xml:space="preserve">Active student engagement: </w:t>
      </w:r>
      <w:r>
        <w:rPr>
          <w:rFonts w:ascii="Arial" w:hAnsi="Arial"/>
          <w:sz w:val="18"/>
        </w:rPr>
        <w:t>9% increase</w:t>
      </w:r>
    </w:p>
    <w:p w:rsidR="00AF545A" w:rsidRPr="005C2851" w:rsidRDefault="005C2851" w:rsidP="003A0B4D">
      <w:pPr>
        <w:numPr>
          <w:ilvl w:val="0"/>
          <w:numId w:val="1"/>
        </w:numPr>
        <w:tabs>
          <w:tab w:val="clear" w:pos="720"/>
          <w:tab w:val="num" w:pos="630"/>
          <w:tab w:val="left" w:pos="3600"/>
        </w:tabs>
        <w:ind w:left="630" w:hanging="270"/>
        <w:rPr>
          <w:rFonts w:ascii="Arial" w:hAnsi="Arial"/>
          <w:sz w:val="18"/>
        </w:rPr>
      </w:pPr>
      <w:r>
        <w:rPr>
          <w:rFonts w:ascii="Arial" w:hAnsi="Arial"/>
          <w:i/>
          <w:sz w:val="18"/>
        </w:rPr>
        <w:t xml:space="preserve">Community of respect: </w:t>
      </w:r>
      <w:r>
        <w:rPr>
          <w:rFonts w:ascii="Arial" w:hAnsi="Arial"/>
          <w:sz w:val="18"/>
        </w:rPr>
        <w:t>18% increase</w:t>
      </w:r>
      <w:r>
        <w:rPr>
          <w:rFonts w:ascii="Arial" w:hAnsi="Arial"/>
          <w:i/>
          <w:sz w:val="18"/>
        </w:rPr>
        <w:t xml:space="preserve"> </w:t>
      </w:r>
    </w:p>
    <w:p w:rsidR="00AF545A" w:rsidRPr="005C2851" w:rsidRDefault="005C2851" w:rsidP="00AF545A">
      <w:pPr>
        <w:tabs>
          <w:tab w:val="left" w:pos="3600"/>
        </w:tabs>
        <w:rPr>
          <w:rFonts w:ascii="Arial" w:hAnsi="Arial"/>
          <w:sz w:val="18"/>
        </w:rPr>
      </w:pPr>
      <w:r>
        <w:rPr>
          <w:rFonts w:ascii="Arial" w:hAnsi="Arial"/>
          <w:sz w:val="18"/>
        </w:rPr>
        <w:t>Categories that are holding at about the same level</w:t>
      </w:r>
      <w:r w:rsidR="0066325C" w:rsidRPr="005C2851">
        <w:rPr>
          <w:rFonts w:ascii="Arial" w:hAnsi="Arial"/>
          <w:sz w:val="18"/>
        </w:rPr>
        <w:t>:</w:t>
      </w:r>
    </w:p>
    <w:p w:rsidR="005C2851" w:rsidRDefault="005C2851" w:rsidP="003A0B4D">
      <w:pPr>
        <w:pStyle w:val="ListParagraph"/>
        <w:numPr>
          <w:ilvl w:val="0"/>
          <w:numId w:val="3"/>
        </w:numPr>
        <w:tabs>
          <w:tab w:val="left" w:pos="3600"/>
        </w:tabs>
        <w:ind w:left="630" w:hanging="270"/>
        <w:rPr>
          <w:rFonts w:ascii="Arial" w:hAnsi="Arial"/>
          <w:sz w:val="18"/>
        </w:rPr>
      </w:pPr>
      <w:r>
        <w:rPr>
          <w:rFonts w:ascii="Arial" w:hAnsi="Arial"/>
          <w:i/>
          <w:sz w:val="18"/>
        </w:rPr>
        <w:t>Clear Organization</w:t>
      </w:r>
      <w:r>
        <w:rPr>
          <w:rFonts w:ascii="Arial" w:hAnsi="Arial"/>
          <w:sz w:val="18"/>
        </w:rPr>
        <w:t>, plateau last month and remained the same</w:t>
      </w:r>
    </w:p>
    <w:p w:rsidR="005C2851" w:rsidRPr="005C2851" w:rsidRDefault="005C2851" w:rsidP="003A0B4D">
      <w:pPr>
        <w:pStyle w:val="ListParagraph"/>
        <w:numPr>
          <w:ilvl w:val="0"/>
          <w:numId w:val="3"/>
        </w:numPr>
        <w:tabs>
          <w:tab w:val="left" w:pos="3600"/>
        </w:tabs>
        <w:ind w:left="630" w:hanging="270"/>
        <w:rPr>
          <w:rFonts w:ascii="Arial" w:hAnsi="Arial"/>
          <w:sz w:val="18"/>
        </w:rPr>
      </w:pPr>
      <w:r>
        <w:rPr>
          <w:rFonts w:ascii="Arial" w:hAnsi="Arial"/>
          <w:i/>
          <w:sz w:val="18"/>
        </w:rPr>
        <w:t>Teacher Responsiveness</w:t>
      </w:r>
      <w:r>
        <w:rPr>
          <w:rFonts w:ascii="Arial" w:hAnsi="Arial"/>
          <w:sz w:val="18"/>
        </w:rPr>
        <w:t>, remained within 2 % points of last month’s walkthrough</w:t>
      </w:r>
    </w:p>
    <w:p w:rsidR="00307FD6" w:rsidRPr="005C2851" w:rsidRDefault="00307FD6" w:rsidP="003A0B4D">
      <w:pPr>
        <w:pStyle w:val="ListParagraph"/>
        <w:numPr>
          <w:ilvl w:val="0"/>
          <w:numId w:val="3"/>
        </w:numPr>
        <w:tabs>
          <w:tab w:val="left" w:pos="3600"/>
        </w:tabs>
        <w:ind w:left="630" w:hanging="270"/>
        <w:rPr>
          <w:rFonts w:ascii="Arial" w:hAnsi="Arial"/>
          <w:sz w:val="18"/>
        </w:rPr>
      </w:pPr>
      <w:r w:rsidRPr="005C2851">
        <w:rPr>
          <w:rFonts w:ascii="Arial" w:hAnsi="Arial"/>
          <w:i/>
          <w:sz w:val="18"/>
        </w:rPr>
        <w:t xml:space="preserve">On Task Conversations </w:t>
      </w:r>
      <w:r w:rsidR="005C2851">
        <w:rPr>
          <w:rFonts w:ascii="Arial" w:hAnsi="Arial"/>
          <w:sz w:val="18"/>
        </w:rPr>
        <w:t>remained within a close range over the last three observations</w:t>
      </w:r>
    </w:p>
    <w:p w:rsidR="005C2851" w:rsidRDefault="005C2851" w:rsidP="00AF545A">
      <w:pPr>
        <w:tabs>
          <w:tab w:val="left" w:pos="3600"/>
        </w:tabs>
        <w:rPr>
          <w:rFonts w:ascii="Arial" w:hAnsi="Arial"/>
          <w:sz w:val="18"/>
        </w:rPr>
      </w:pPr>
      <w:r>
        <w:rPr>
          <w:rFonts w:ascii="Arial" w:hAnsi="Arial"/>
          <w:sz w:val="18"/>
        </w:rPr>
        <w:t>Category that decreased:</w:t>
      </w:r>
    </w:p>
    <w:p w:rsidR="005C2851" w:rsidRPr="005C2851" w:rsidRDefault="005C2851" w:rsidP="00AF545A">
      <w:pPr>
        <w:pStyle w:val="ListParagraph"/>
        <w:numPr>
          <w:ilvl w:val="0"/>
          <w:numId w:val="3"/>
        </w:numPr>
        <w:tabs>
          <w:tab w:val="left" w:pos="3600"/>
        </w:tabs>
        <w:ind w:left="630" w:hanging="270"/>
        <w:rPr>
          <w:rFonts w:ascii="Arial" w:hAnsi="Arial"/>
          <w:sz w:val="18"/>
        </w:rPr>
      </w:pPr>
      <w:r>
        <w:rPr>
          <w:rFonts w:ascii="Arial" w:hAnsi="Arial"/>
          <w:i/>
          <w:sz w:val="18"/>
        </w:rPr>
        <w:t>Incorporation of Technology</w:t>
      </w:r>
      <w:r>
        <w:rPr>
          <w:rFonts w:ascii="Arial" w:hAnsi="Arial"/>
          <w:sz w:val="18"/>
        </w:rPr>
        <w:t xml:space="preserve"> increased dramatically in January, and returned to 38%, which was similar to previous months</w:t>
      </w:r>
    </w:p>
    <w:p w:rsidR="00AF545A" w:rsidRPr="005C2851" w:rsidRDefault="00AF545A" w:rsidP="00AF545A">
      <w:pPr>
        <w:tabs>
          <w:tab w:val="left" w:pos="3600"/>
        </w:tabs>
        <w:rPr>
          <w:rFonts w:ascii="Arial" w:hAnsi="Arial"/>
          <w:b/>
          <w:sz w:val="18"/>
        </w:rPr>
      </w:pPr>
    </w:p>
    <w:p w:rsidR="00AF545A" w:rsidRPr="005C2851" w:rsidRDefault="00AF545A" w:rsidP="00AF545A">
      <w:pPr>
        <w:tabs>
          <w:tab w:val="left" w:pos="3600"/>
        </w:tabs>
        <w:rPr>
          <w:rFonts w:ascii="Arial" w:hAnsi="Arial"/>
          <w:b/>
          <w:sz w:val="18"/>
        </w:rPr>
      </w:pPr>
      <w:r w:rsidRPr="005C2851">
        <w:rPr>
          <w:rFonts w:ascii="Arial" w:hAnsi="Arial"/>
          <w:b/>
          <w:sz w:val="18"/>
        </w:rPr>
        <w:t>Reflection:</w:t>
      </w:r>
    </w:p>
    <w:p w:rsidR="003A0B4D" w:rsidRPr="005C2851" w:rsidRDefault="005C2851" w:rsidP="00AF545A">
      <w:pPr>
        <w:tabs>
          <w:tab w:val="left" w:pos="3600"/>
        </w:tabs>
        <w:rPr>
          <w:rFonts w:ascii="Arial" w:hAnsi="Arial"/>
          <w:sz w:val="18"/>
        </w:rPr>
      </w:pPr>
      <w:r>
        <w:rPr>
          <w:rFonts w:ascii="Arial" w:hAnsi="Arial"/>
          <w:sz w:val="18"/>
        </w:rPr>
        <w:t xml:space="preserve">It was exciting to see that both Varied Instructional Strategies and Higher Order Thinking were two categories that clearly increased between the </w:t>
      </w:r>
      <w:r w:rsidR="00744EF0">
        <w:rPr>
          <w:rFonts w:ascii="Arial" w:hAnsi="Arial"/>
          <w:sz w:val="18"/>
        </w:rPr>
        <w:t>previous</w:t>
      </w:r>
      <w:r>
        <w:rPr>
          <w:rFonts w:ascii="Arial" w:hAnsi="Arial"/>
          <w:sz w:val="18"/>
        </w:rPr>
        <w:t xml:space="preserve"> walkthrough</w:t>
      </w:r>
      <w:r w:rsidR="00744EF0">
        <w:rPr>
          <w:rFonts w:ascii="Arial" w:hAnsi="Arial"/>
          <w:sz w:val="18"/>
        </w:rPr>
        <w:t>s</w:t>
      </w:r>
      <w:r>
        <w:rPr>
          <w:rFonts w:ascii="Arial" w:hAnsi="Arial"/>
          <w:sz w:val="18"/>
        </w:rPr>
        <w:t xml:space="preserve"> and the February </w:t>
      </w:r>
      <w:r w:rsidR="00744EF0">
        <w:rPr>
          <w:rFonts w:ascii="Arial" w:hAnsi="Arial"/>
          <w:sz w:val="18"/>
        </w:rPr>
        <w:t>09 walkthrough. Although incorporation of technology seemed to dip back down, it appears that we</w:t>
      </w:r>
      <w:r w:rsidR="008B2646">
        <w:rPr>
          <w:rFonts w:ascii="Arial" w:hAnsi="Arial"/>
          <w:sz w:val="18"/>
        </w:rPr>
        <w:t xml:space="preserve"> are</w:t>
      </w:r>
      <w:r w:rsidR="00744EF0">
        <w:rPr>
          <w:rFonts w:ascii="Arial" w:hAnsi="Arial"/>
          <w:sz w:val="18"/>
        </w:rPr>
        <w:t xml:space="preserve"> turning the corner in some of these other areas. We cannot loose momentum! After viewing the SAS video at our recent February Faculty Meeting, it is imperative that we continue to focus on the inclusion of both varied instructional strategies and higher order thinking in order to engage and challenge all learners. </w:t>
      </w:r>
    </w:p>
    <w:p w:rsidR="003A0B4D" w:rsidRPr="005C2851" w:rsidRDefault="00AF545A" w:rsidP="003A0B4D">
      <w:pPr>
        <w:pStyle w:val="ListParagraph"/>
        <w:numPr>
          <w:ilvl w:val="0"/>
          <w:numId w:val="4"/>
        </w:numPr>
        <w:tabs>
          <w:tab w:val="left" w:pos="3600"/>
        </w:tabs>
        <w:rPr>
          <w:rFonts w:ascii="Arial" w:hAnsi="Arial"/>
          <w:sz w:val="18"/>
        </w:rPr>
      </w:pPr>
      <w:r w:rsidRPr="005C2851">
        <w:rPr>
          <w:rFonts w:ascii="Arial" w:hAnsi="Arial"/>
          <w:sz w:val="18"/>
        </w:rPr>
        <w:t xml:space="preserve">How can we incorporate </w:t>
      </w:r>
      <w:r w:rsidR="003A0B4D" w:rsidRPr="005C2851">
        <w:rPr>
          <w:rFonts w:ascii="Arial" w:hAnsi="Arial"/>
          <w:sz w:val="18"/>
        </w:rPr>
        <w:t xml:space="preserve">more student-centered, constructivist, higher order thinking learning strategies, </w:t>
      </w:r>
      <w:r w:rsidRPr="005C2851">
        <w:rPr>
          <w:rFonts w:ascii="Arial" w:hAnsi="Arial"/>
          <w:sz w:val="18"/>
        </w:rPr>
        <w:t xml:space="preserve">consistently and deliberately into our curriculum? </w:t>
      </w:r>
    </w:p>
    <w:p w:rsidR="003A0B4D" w:rsidRPr="005C2851" w:rsidRDefault="00AF545A" w:rsidP="003A0B4D">
      <w:pPr>
        <w:pStyle w:val="ListParagraph"/>
        <w:numPr>
          <w:ilvl w:val="0"/>
          <w:numId w:val="4"/>
        </w:numPr>
        <w:tabs>
          <w:tab w:val="left" w:pos="3600"/>
        </w:tabs>
        <w:rPr>
          <w:rFonts w:ascii="Arial" w:hAnsi="Arial"/>
          <w:sz w:val="18"/>
        </w:rPr>
      </w:pPr>
      <w:r w:rsidRPr="005C2851">
        <w:rPr>
          <w:rFonts w:ascii="Arial" w:hAnsi="Arial"/>
          <w:sz w:val="18"/>
        </w:rPr>
        <w:t xml:space="preserve">When planning for a lesson, to what extent, are these </w:t>
      </w:r>
      <w:r w:rsidR="007F5C87" w:rsidRPr="005C2851">
        <w:rPr>
          <w:rFonts w:ascii="Arial" w:hAnsi="Arial"/>
          <w:sz w:val="18"/>
        </w:rPr>
        <w:t>two</w:t>
      </w:r>
      <w:r w:rsidRPr="005C2851">
        <w:rPr>
          <w:rFonts w:ascii="Arial" w:hAnsi="Arial"/>
          <w:sz w:val="18"/>
        </w:rPr>
        <w:t xml:space="preserve"> areas deliberately incorporated into the plan for the day? </w:t>
      </w:r>
    </w:p>
    <w:p w:rsidR="00AF545A" w:rsidRPr="005C2851" w:rsidRDefault="00AF545A" w:rsidP="003A0B4D">
      <w:pPr>
        <w:pStyle w:val="ListParagraph"/>
        <w:numPr>
          <w:ilvl w:val="0"/>
          <w:numId w:val="4"/>
        </w:numPr>
        <w:tabs>
          <w:tab w:val="left" w:pos="3600"/>
        </w:tabs>
        <w:rPr>
          <w:rFonts w:ascii="Arial" w:hAnsi="Arial"/>
          <w:sz w:val="18"/>
        </w:rPr>
      </w:pPr>
      <w:r w:rsidRPr="005C2851">
        <w:rPr>
          <w:rFonts w:ascii="Arial" w:hAnsi="Arial"/>
          <w:sz w:val="18"/>
        </w:rPr>
        <w:t xml:space="preserve">How much of class time is spent with teacher talk versus </w:t>
      </w:r>
      <w:r w:rsidR="003A0B4D" w:rsidRPr="005C2851">
        <w:rPr>
          <w:rFonts w:ascii="Arial" w:hAnsi="Arial"/>
          <w:sz w:val="18"/>
        </w:rPr>
        <w:t>collaborative learning activities for students to do hands-on, experiential work with the content material?</w:t>
      </w:r>
    </w:p>
    <w:sectPr w:rsidR="00AF545A" w:rsidRPr="005C2851" w:rsidSect="005C2851">
      <w:pgSz w:w="12240" w:h="15840"/>
      <w:pgMar w:top="720" w:right="1080" w:bottom="810" w:left="1080" w:gutter="0"/>
      <w:printerSettings r:id="rId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4A2816"/>
    <w:multiLevelType w:val="hybridMultilevel"/>
    <w:tmpl w:val="0EAC4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D86C98"/>
    <w:multiLevelType w:val="hybridMultilevel"/>
    <w:tmpl w:val="8B301A8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44F476F6"/>
    <w:multiLevelType w:val="hybridMultilevel"/>
    <w:tmpl w:val="FD68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811A15"/>
    <w:multiLevelType w:val="hybridMultilevel"/>
    <w:tmpl w:val="9894E3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F545A"/>
    <w:rsid w:val="000E78EE"/>
    <w:rsid w:val="00157EDE"/>
    <w:rsid w:val="00307FD6"/>
    <w:rsid w:val="00341B3C"/>
    <w:rsid w:val="003A0B4D"/>
    <w:rsid w:val="005C2851"/>
    <w:rsid w:val="006344EF"/>
    <w:rsid w:val="0066325C"/>
    <w:rsid w:val="006C734A"/>
    <w:rsid w:val="00744EF0"/>
    <w:rsid w:val="007F5C87"/>
    <w:rsid w:val="008B2646"/>
    <w:rsid w:val="00907E9D"/>
    <w:rsid w:val="009C7F65"/>
    <w:rsid w:val="00A81058"/>
    <w:rsid w:val="00AF545A"/>
    <w:rsid w:val="00B074B8"/>
    <w:rsid w:val="00C054C7"/>
    <w:rsid w:val="00DE754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B3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F545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346</Words>
  <Characters>1976</Characters>
  <Application>Microsoft Word 12.1.0</Application>
  <DocSecurity>0</DocSecurity>
  <Lines>16</Lines>
  <Paragraphs>3</Paragraphs>
  <ScaleCrop>false</ScaleCrop>
  <Company>Moreau Catholic High School</Company>
  <LinksUpToDate>false</LinksUpToDate>
  <CharactersWithSpaces>2426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Lek</dc:creator>
  <cp:keywords/>
  <cp:lastModifiedBy>Lauren Lek</cp:lastModifiedBy>
  <cp:revision>6</cp:revision>
  <cp:lastPrinted>2009-02-24T17:27:00Z</cp:lastPrinted>
  <dcterms:created xsi:type="dcterms:W3CDTF">2009-02-24T17:18:00Z</dcterms:created>
  <dcterms:modified xsi:type="dcterms:W3CDTF">2009-02-24T18:13:00Z</dcterms:modified>
</cp:coreProperties>
</file>